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13E7">
      <w:pPr>
        <w:pStyle w:val="Heading3"/>
        <w:jc w:val="center"/>
        <w:rPr>
          <w:rFonts w:eastAsia="Times New Roman"/>
          <w:color w:val="FF0000"/>
          <w:sz w:val="28"/>
          <w:szCs w:val="28"/>
        </w:rPr>
      </w:pPr>
      <w:hyperlink r:id="rId6" w:history="1">
        <w:r>
          <w:rPr>
            <w:rStyle w:val="Hyperlink"/>
            <w:rFonts w:hint="default"/>
            <w:sz w:val="28"/>
            <w:szCs w:val="28"/>
          </w:rPr>
          <w:t>Digital Dictionary of Buddhism</w:t>
        </w:r>
      </w:hyperlink>
    </w:p>
    <w:p w:rsidR="00000000" w:rsidRDefault="00FD13E7">
      <w:pPr>
        <w:rPr>
          <w:rFonts w:eastAsia="Times New Roman"/>
        </w:rPr>
      </w:pPr>
      <w:r>
        <w:rPr>
          <w:rFonts w:eastAsia="Times New Roman"/>
        </w:rPr>
        <w:pict>
          <v:rect id="_x0000_i1025" style="width:0;height:1.5pt" o:hralign="center" o:hrstd="t" o:hr="t" fillcolor="#a0a0a0" stroked="f"/>
        </w:pict>
      </w:r>
    </w:p>
    <w:p w:rsidR="00000000" w:rsidRDefault="00FD13E7">
      <w:pPr>
        <w:pStyle w:val="NormalWeb"/>
        <w:spacing w:after="240" w:afterAutospacing="0"/>
        <w:rPr>
          <w:rFonts w:ascii="MingLiU" w:eastAsia="MingLiU" w:hAnsi="MingLiU"/>
          <w:sz w:val="36"/>
          <w:szCs w:val="36"/>
        </w:rPr>
      </w:pPr>
      <w:r>
        <w:rPr>
          <w:rFonts w:ascii="MingLiU" w:eastAsia="MingLiU" w:hAnsi="MingLiU" w:hint="eastAsia"/>
          <w:sz w:val="36"/>
          <w:szCs w:val="36"/>
        </w:rPr>
        <w:t>廢詮談旨</w:t>
      </w:r>
    </w:p>
    <w:p w:rsidR="00000000" w:rsidRDefault="00FD13E7">
      <w:pPr>
        <w:pStyle w:val="NormalWeb"/>
        <w:rPr>
          <w:rFonts w:hint="eastAsia"/>
          <w:sz w:val="29"/>
          <w:szCs w:val="29"/>
        </w:rPr>
      </w:pPr>
      <w:r>
        <w:rPr>
          <w:sz w:val="29"/>
          <w:szCs w:val="29"/>
        </w:rPr>
        <w:t>Readings</w:t>
      </w:r>
    </w:p>
    <w:p w:rsidR="00000000" w:rsidRDefault="00FD13E7">
      <w:pPr>
        <w:pStyle w:val="plain"/>
      </w:pPr>
      <w:r>
        <w:t>Pinyin: fèiquán tánzhǐ</w:t>
      </w:r>
    </w:p>
    <w:p w:rsidR="00000000" w:rsidRDefault="00FD13E7">
      <w:pPr>
        <w:pStyle w:val="plain"/>
      </w:pPr>
      <w:r>
        <w:t>Wade-Giles: fei-ch'üan t'an-chih</w:t>
      </w:r>
    </w:p>
    <w:p w:rsidR="00000000" w:rsidRDefault="00FD13E7">
      <w:pPr>
        <w:pStyle w:val="plain"/>
      </w:pPr>
      <w:r>
        <w:t xml:space="preserve">Hangul: </w:t>
      </w:r>
      <w:r>
        <w:rPr>
          <w:rStyle w:val="plain1"/>
          <w:rFonts w:ascii="BatangChe" w:eastAsia="BatangChe" w:hAnsi="BatangChe" w:hint="eastAsia"/>
        </w:rPr>
        <w:t>폐전담지</w:t>
      </w:r>
    </w:p>
    <w:p w:rsidR="00000000" w:rsidRDefault="00FD13E7">
      <w:pPr>
        <w:pStyle w:val="plain"/>
      </w:pPr>
      <w:r>
        <w:t>Korean MC: pyejeon damji</w:t>
      </w:r>
    </w:p>
    <w:p w:rsidR="00000000" w:rsidRDefault="00FD13E7">
      <w:pPr>
        <w:pStyle w:val="plain"/>
      </w:pPr>
      <w:r>
        <w:t>Korean MR: p'yejŏn tamji</w:t>
      </w:r>
    </w:p>
    <w:p w:rsidR="00000000" w:rsidRDefault="00FD13E7">
      <w:pPr>
        <w:pStyle w:val="plain"/>
      </w:pPr>
      <w:r>
        <w:t xml:space="preserve">Katakana: </w:t>
      </w:r>
      <w:r>
        <w:rPr>
          <w:rStyle w:val="plain1"/>
          <w:rFonts w:ascii="ＭＳ 明朝" w:hAnsi="ＭＳ 明朝" w:hint="eastAsia"/>
        </w:rPr>
        <w:t>ハイセンダンジ</w:t>
      </w:r>
    </w:p>
    <w:p w:rsidR="00000000" w:rsidRDefault="00FD13E7">
      <w:pPr>
        <w:pStyle w:val="plain"/>
      </w:pPr>
      <w:r>
        <w:t>Hepburn: haisen danji</w:t>
      </w:r>
    </w:p>
    <w:p w:rsidR="00000000" w:rsidRDefault="00FD13E7">
      <w:pPr>
        <w:rPr>
          <w:rFonts w:eastAsia="Times New Roman"/>
        </w:rPr>
      </w:pPr>
      <w:r>
        <w:rPr>
          <w:rFonts w:eastAsia="Times New Roman"/>
        </w:rPr>
        <w:pict>
          <v:rect id="_x0000_i1026" style="width:0;height:1.5pt" o:hralign="center" o:hrstd="t" o:hr="t" fillcolor="#a0a0a0" stroked="f"/>
        </w:pict>
      </w:r>
    </w:p>
    <w:p w:rsidR="00000000" w:rsidRDefault="00FD13E7">
      <w:pPr>
        <w:pStyle w:val="NormalWeb"/>
        <w:rPr>
          <w:b/>
          <w:bCs/>
        </w:rPr>
      </w:pPr>
      <w:r>
        <w:rPr>
          <w:b/>
          <w:bCs/>
        </w:rPr>
        <w:t>to discuss</w:t>
      </w:r>
      <w:r w:rsidR="00AE4BA0">
        <w:rPr>
          <w:b/>
          <w:bCs/>
        </w:rPr>
        <w:t xml:space="preserve"> the essence of Buddhism while </w:t>
      </w:r>
      <w:r w:rsidR="00AE4BA0">
        <w:rPr>
          <w:rFonts w:hint="eastAsia"/>
          <w:b/>
          <w:bCs/>
        </w:rPr>
        <w:t>r</w:t>
      </w:r>
      <w:bookmarkStart w:id="0" w:name="_GoBack"/>
      <w:bookmarkEnd w:id="0"/>
      <w:r>
        <w:rPr>
          <w:b/>
          <w:bCs/>
        </w:rPr>
        <w:t>ejecting the use of language</w:t>
      </w:r>
    </w:p>
    <w:p w:rsidR="00000000" w:rsidRDefault="00FD13E7">
      <w:pPr>
        <w:numPr>
          <w:ilvl w:val="0"/>
          <w:numId w:val="1"/>
        </w:numPr>
        <w:spacing w:before="100" w:beforeAutospacing="1" w:after="100" w:afterAutospacing="1"/>
        <w:rPr>
          <w:rFonts w:eastAsia="Times New Roman"/>
        </w:rPr>
      </w:pPr>
      <w:r>
        <w:rPr>
          <w:rFonts w:eastAsia="Times New Roman"/>
        </w:rPr>
        <w:t>To talk about the essence of Buddhist teaching abolishing the use of language, or to refrain from revealing the truth using the language. Same as "explaining the truth disestablishing the discrim</w:t>
      </w:r>
      <w:r>
        <w:rPr>
          <w:rFonts w:eastAsia="Times New Roman"/>
        </w:rPr>
        <w:t>inative use of language" </w:t>
      </w:r>
      <w:hyperlink r:id="rId7" w:history="1">
        <w:r>
          <w:rPr>
            <w:rStyle w:val="Hyperlink"/>
            <w:rFonts w:hint="default"/>
          </w:rPr>
          <w:t>廢詮辨實</w:t>
        </w:r>
      </w:hyperlink>
      <w:r>
        <w:rPr>
          <w:rFonts w:eastAsia="Times New Roman"/>
        </w:rPr>
        <w:t xml:space="preserve">. The opposite of discussing the essence of Buddhism relying on language </w:t>
      </w:r>
      <w:hyperlink r:id="rId8" w:history="1">
        <w:r>
          <w:rPr>
            <w:rStyle w:val="Hyperlink"/>
            <w:rFonts w:hint="default"/>
          </w:rPr>
          <w:t>依詮談旨</w:t>
        </w:r>
      </w:hyperlink>
      <w:r>
        <w:rPr>
          <w:rFonts w:eastAsia="Times New Roman"/>
        </w:rPr>
        <w:t>. In oth</w:t>
      </w:r>
      <w:r>
        <w:rPr>
          <w:rFonts w:eastAsia="Times New Roman"/>
        </w:rPr>
        <w:t xml:space="preserve">er words, to explain directly the truth while disestablishing all verbal expressions and discrimination. </w:t>
      </w:r>
    </w:p>
    <w:p w:rsidR="00000000" w:rsidRDefault="00FD13E7">
      <w:pPr>
        <w:pStyle w:val="indent"/>
        <w:ind w:left="720"/>
      </w:pPr>
      <w:r>
        <w:t xml:space="preserve">In the fourth fascicle of the </w:t>
      </w:r>
      <w:r>
        <w:rPr>
          <w:i/>
          <w:iCs/>
        </w:rPr>
        <w:t>Dasheng fayuan yilin zhang</w:t>
      </w:r>
      <w:r>
        <w:t> </w:t>
      </w:r>
      <w:hyperlink r:id="rId9" w:history="1">
        <w:r>
          <w:rPr>
            <w:rStyle w:val="Hyperlink"/>
            <w:rFonts w:hint="default"/>
          </w:rPr>
          <w:t>大乘法苑義林章</w:t>
        </w:r>
      </w:hyperlink>
      <w:r>
        <w:t xml:space="preserve"> it is said:</w:t>
      </w:r>
      <w:r>
        <w:t xml:space="preserve"> "Fourth, the truth of the supreme meaning of the supreme meaning </w:t>
      </w:r>
      <w:r>
        <w:t>勝義勝義諦</w:t>
      </w:r>
      <w:r>
        <w:t xml:space="preserve"> is also called "the truth of discussing on the essence of Buddhist teaching by disestablishing the use of language" </w:t>
      </w:r>
      <w:r>
        <w:t>廢詮談旨諦</w:t>
      </w:r>
      <w:r>
        <w:t>. The fourth truth of the supreme meaning is generally called "</w:t>
      </w:r>
      <w:r>
        <w:t>the meaning" </w:t>
      </w:r>
      <w:r>
        <w:t>義</w:t>
      </w:r>
      <w:r>
        <w:t xml:space="preserve">, because it doesn't exist as an object of ordinary knowledge. </w:t>
      </w:r>
    </w:p>
    <w:p w:rsidR="00000000" w:rsidRDefault="00FD13E7">
      <w:pPr>
        <w:pStyle w:val="indent"/>
        <w:ind w:left="720"/>
      </w:pPr>
      <w:r>
        <w:t xml:space="preserve">In the sixth fascicle of the same volume is said that "In the three realities of same essence </w:t>
      </w:r>
      <w:r>
        <w:t>同體三實</w:t>
      </w:r>
      <w:r>
        <w:t>, to explain the truth disestablishing the use of language does not correspond t</w:t>
      </w:r>
      <w:r>
        <w:t xml:space="preserve">o the gathering </w:t>
      </w:r>
      <w:hyperlink r:id="rId10" w:history="1">
        <w:r>
          <w:rPr>
            <w:rStyle w:val="Hyperlink"/>
            <w:rFonts w:hint="default"/>
          </w:rPr>
          <w:t>收</w:t>
        </w:r>
      </w:hyperlink>
      <w:r>
        <w:t xml:space="preserve"> of the four truths; the revelation of the essence of the Buddhist teaching relying on language is included in the truth of extinction </w:t>
      </w:r>
      <w:r>
        <w:t>滅諦</w:t>
      </w:r>
      <w:r>
        <w:t xml:space="preserve">." In the fourth fascicle of the </w:t>
      </w:r>
      <w:r>
        <w:rPr>
          <w:i/>
          <w:iCs/>
        </w:rPr>
        <w:t>B</w:t>
      </w:r>
      <w:r>
        <w:rPr>
          <w:i/>
          <w:iCs/>
        </w:rPr>
        <w:t>aifawenda chao</w:t>
      </w:r>
      <w:r>
        <w:t> </w:t>
      </w:r>
      <w:hyperlink r:id="rId11" w:history="1">
        <w:r>
          <w:rPr>
            <w:rStyle w:val="Hyperlink"/>
            <w:rFonts w:hint="default"/>
          </w:rPr>
          <w:t>百法問答抄</w:t>
        </w:r>
      </w:hyperlink>
      <w:r>
        <w:t xml:space="preserve"> it says "to discuss on the essence of Buddhism disestablishing the use of language means that we should not to expound and reveal its essence by using language, be</w:t>
      </w:r>
      <w:r>
        <w:t xml:space="preserve">cause to talk about the reality of the marvelous principle </w:t>
      </w:r>
      <w:hyperlink r:id="rId12" w:history="1">
        <w:r>
          <w:rPr>
            <w:rStyle w:val="Hyperlink"/>
            <w:rFonts w:hint="default"/>
          </w:rPr>
          <w:t>妙理</w:t>
        </w:r>
      </w:hyperlink>
      <w:r>
        <w:t xml:space="preserve"> of the truth as it is </w:t>
      </w:r>
      <w:hyperlink r:id="rId13" w:history="1">
        <w:r>
          <w:rPr>
            <w:rStyle w:val="Hyperlink"/>
            <w:rFonts w:hint="default"/>
          </w:rPr>
          <w:t>眞如</w:t>
        </w:r>
      </w:hyperlink>
      <w:r>
        <w:t xml:space="preserve"> </w:t>
      </w:r>
      <w:r>
        <w:t xml:space="preserve">is </w:t>
      </w:r>
      <w:r>
        <w:lastRenderedPageBreak/>
        <w:t xml:space="preserve">extremely profound and hard to understand by discriminative knowledge. This is the very end of all verbal expressions and the extinction of all deliberation </w:t>
      </w:r>
      <w:hyperlink r:id="rId14" w:history="1">
        <w:r>
          <w:rPr>
            <w:rStyle w:val="Hyperlink"/>
            <w:rFonts w:hint="default"/>
          </w:rPr>
          <w:t>慮</w:t>
        </w:r>
      </w:hyperlink>
      <w:r>
        <w:t>. It is beyond every delibe</w:t>
      </w:r>
      <w:r>
        <w:t>ration based on the language. We should not explain it as "existence." We should not to explain it as "nothingness." It is the unspeakable, where every mental function must cease. It is inexplicable, unthinkable, and incomprehensible. Only a true saint can</w:t>
      </w:r>
      <w:r>
        <w:t xml:space="preserve"> realize it in himself by producing the subtle and profound non-discriminating cognition."</w:t>
      </w:r>
    </w:p>
    <w:p w:rsidR="00000000" w:rsidRDefault="00FD13E7">
      <w:pPr>
        <w:pStyle w:val="indent"/>
        <w:ind w:left="720"/>
      </w:pPr>
      <w:r>
        <w:t xml:space="preserve">This means that while the explanation of the essence of Buddhist teaching by using language is called </w:t>
      </w:r>
      <w:hyperlink r:id="rId15" w:history="1">
        <w:r>
          <w:rPr>
            <w:rStyle w:val="Hyperlink"/>
            <w:rFonts w:hint="default"/>
          </w:rPr>
          <w:t>依詮談旨</w:t>
        </w:r>
      </w:hyperlink>
      <w:r>
        <w:t xml:space="preserve">, pointing out directly to its universal principle abolishing the use of language is called </w:t>
      </w:r>
      <w:hyperlink r:id="rId16" w:history="1">
        <w:r>
          <w:rPr>
            <w:rStyle w:val="Hyperlink"/>
            <w:rFonts w:hint="default"/>
          </w:rPr>
          <w:t>廢詮談旨</w:t>
        </w:r>
      </w:hyperlink>
      <w:r>
        <w:t>, and reveals that such a universal principle that is beyond all thinking bas</w:t>
      </w:r>
      <w:r>
        <w:t>ed on language, and that only the perfect knowledge of a holy one can realize it.</w:t>
      </w:r>
    </w:p>
    <w:p w:rsidR="00000000" w:rsidRDefault="00FD13E7">
      <w:pPr>
        <w:pStyle w:val="indent"/>
        <w:ind w:left="720"/>
      </w:pPr>
      <w:r>
        <w:t xml:space="preserve">Furthermore, the second volume of the </w:t>
      </w:r>
      <w:r>
        <w:rPr>
          <w:i/>
          <w:iCs/>
        </w:rPr>
        <w:t>Xufaxiang chuxin lüeyao</w:t>
      </w:r>
      <w:r>
        <w:t xml:space="preserve"> </w:t>
      </w:r>
      <w:r>
        <w:t>續法相初心略要</w:t>
      </w:r>
      <w:r>
        <w:t xml:space="preserve">, comparing the meaning of both relying on language </w:t>
      </w:r>
      <w:hyperlink r:id="rId17" w:history="1">
        <w:r>
          <w:rPr>
            <w:rStyle w:val="Hyperlink"/>
            <w:rFonts w:hint="default"/>
          </w:rPr>
          <w:t>依詮</w:t>
        </w:r>
      </w:hyperlink>
      <w:r>
        <w:t xml:space="preserve"> and rejecting language </w:t>
      </w:r>
      <w:hyperlink r:id="rId18" w:history="1">
        <w:r>
          <w:rPr>
            <w:rStyle w:val="Hyperlink"/>
            <w:rFonts w:hint="default"/>
          </w:rPr>
          <w:t>廢詮</w:t>
        </w:r>
      </w:hyperlink>
      <w:r>
        <w:t xml:space="preserve">, says "the comparison of explaining the essence of Buddhist teaching by using language </w:t>
      </w:r>
      <w:hyperlink r:id="rId19" w:history="1">
        <w:r>
          <w:rPr>
            <w:rStyle w:val="Hyperlink"/>
            <w:rFonts w:hint="default"/>
          </w:rPr>
          <w:t>詮旨</w:t>
        </w:r>
      </w:hyperlink>
      <w:r>
        <w:t xml:space="preserve"> reveals that what is commonly termed "The reality as it is of the twofold emptiness" </w:t>
      </w:r>
      <w:hyperlink r:id="rId20" w:history="1">
        <w:r>
          <w:rPr>
            <w:rStyle w:val="Hyperlink"/>
            <w:rFonts w:hint="default"/>
          </w:rPr>
          <w:t>二空眞如</w:t>
        </w:r>
      </w:hyperlink>
      <w:r>
        <w:t xml:space="preserve"> corresponds to</w:t>
      </w:r>
      <w:r>
        <w:t xml:space="preserve"> </w:t>
      </w:r>
      <w:r>
        <w:t>explaining the essence relying on language" </w:t>
      </w:r>
      <w:hyperlink r:id="rId21" w:history="1">
        <w:r>
          <w:rPr>
            <w:rStyle w:val="Hyperlink"/>
            <w:rFonts w:hint="default"/>
          </w:rPr>
          <w:t>詮</w:t>
        </w:r>
      </w:hyperlink>
      <w:r>
        <w:t xml:space="preserve">, because it reveals the true nature of all dharmas </w:t>
      </w:r>
      <w:hyperlink r:id="rId22" w:history="1">
        <w:r>
          <w:rPr>
            <w:rStyle w:val="Hyperlink"/>
            <w:rFonts w:hint="default"/>
          </w:rPr>
          <w:t>法性</w:t>
        </w:r>
      </w:hyperlink>
      <w:r>
        <w:t xml:space="preserve"> basing on the teaching of the twofold emptiness of self </w:t>
      </w:r>
      <w:hyperlink r:id="rId23" w:history="1">
        <w:r>
          <w:rPr>
            <w:rStyle w:val="Hyperlink"/>
            <w:rFonts w:hint="default"/>
          </w:rPr>
          <w:t>二無我</w:t>
        </w:r>
      </w:hyperlink>
      <w:r>
        <w:t xml:space="preserve"> explained by using language </w:t>
      </w:r>
      <w:r>
        <w:t>詮門</w:t>
      </w:r>
      <w:r>
        <w:t>. The essence of Buddhist teaching corresponds to</w:t>
      </w:r>
      <w:r>
        <w:t xml:space="preserve"> </w:t>
      </w:r>
      <w:r>
        <w:t>the one true vehicle only" </w:t>
      </w:r>
      <w:hyperlink r:id="rId24" w:history="1">
        <w:r>
          <w:rPr>
            <w:rStyle w:val="Hyperlink"/>
            <w:rFonts w:hint="default"/>
          </w:rPr>
          <w:t>一實</w:t>
        </w:r>
      </w:hyperlink>
      <w:r>
        <w:t>, because to in pointing out d</w:t>
      </w:r>
      <w:r>
        <w:t>irectly the true nature of all dharmas, at which point and all mental and linguistic activity cease to function</w:t>
      </w:r>
      <w:r>
        <w:t>.</w:t>
      </w:r>
    </w:p>
    <w:p w:rsidR="00000000" w:rsidRDefault="00FD13E7">
      <w:pPr>
        <w:pStyle w:val="indent"/>
        <w:ind w:left="720"/>
      </w:pPr>
      <w:r>
        <w:t xml:space="preserve">This expression is used also in the </w:t>
      </w:r>
      <w:r>
        <w:rPr>
          <w:i/>
          <w:iCs/>
        </w:rPr>
        <w:t>Cheng weishi lun</w:t>
      </w:r>
      <w:r>
        <w:t> </w:t>
      </w:r>
      <w:hyperlink r:id="rId25" w:history="1">
        <w:r>
          <w:rPr>
            <w:rStyle w:val="Hyperlink"/>
            <w:rFonts w:hint="default"/>
          </w:rPr>
          <w:t>成唯識論</w:t>
        </w:r>
      </w:hyperlink>
      <w:r>
        <w:t xml:space="preserve">, </w:t>
      </w:r>
      <w:r>
        <w:rPr>
          <w:i/>
          <w:iCs/>
        </w:rPr>
        <w:t>Fayuan yijing</w:t>
      </w:r>
      <w:r>
        <w:t> </w:t>
      </w:r>
      <w:hyperlink r:id="rId26" w:history="1">
        <w:r>
          <w:rPr>
            <w:rStyle w:val="Hyperlink"/>
            <w:rFonts w:hint="default"/>
          </w:rPr>
          <w:t>法苑義鏡</w:t>
        </w:r>
      </w:hyperlink>
      <w:r>
        <w:t xml:space="preserve">, </w:t>
      </w:r>
      <w:r>
        <w:rPr>
          <w:i/>
          <w:iCs/>
        </w:rPr>
        <w:t>Dasheng faxiang zongming mu</w:t>
      </w:r>
      <w:r>
        <w:t> </w:t>
      </w:r>
      <w:hyperlink r:id="rId27" w:history="1">
        <w:r>
          <w:rPr>
            <w:rStyle w:val="Hyperlink"/>
            <w:rFonts w:hint="default"/>
          </w:rPr>
          <w:t>大乘法相宗名目</w:t>
        </w:r>
      </w:hyperlink>
      <w:r>
        <w:t xml:space="preserve">, and the </w:t>
      </w:r>
      <w:r>
        <w:rPr>
          <w:i/>
          <w:iCs/>
        </w:rPr>
        <w:t>Kanjin kakumu shō</w:t>
      </w:r>
      <w:r>
        <w:t> </w:t>
      </w:r>
      <w:hyperlink r:id="rId28" w:history="1">
        <w:r>
          <w:rPr>
            <w:rStyle w:val="Hyperlink"/>
            <w:rFonts w:hint="default"/>
          </w:rPr>
          <w:t>觀心覺夢抄</w:t>
        </w:r>
      </w:hyperlink>
      <w:r>
        <w:t xml:space="preserve">. (Based on the Mochizuki </w:t>
      </w:r>
      <w:r>
        <w:rPr>
          <w:i/>
          <w:iCs/>
        </w:rPr>
        <w:t>Bukkyō jiten</w:t>
      </w:r>
      <w:r>
        <w:t> </w:t>
      </w:r>
      <w:r>
        <w:t>望月佛教辭典</w:t>
      </w:r>
      <w:r>
        <w:t xml:space="preserve"> vol. 5, p.4178)</w:t>
      </w:r>
    </w:p>
    <w:p w:rsidR="00000000" w:rsidRDefault="00FD13E7">
      <w:pPr>
        <w:spacing w:beforeAutospacing="1" w:afterAutospacing="1"/>
        <w:ind w:left="720" w:hanging="360"/>
        <w:rPr>
          <w:rFonts w:eastAsia="Times New Roman"/>
        </w:rPr>
      </w:pPr>
      <w:r>
        <w:rPr>
          <w:rFonts w:eastAsia="Times New Roman"/>
        </w:rPr>
        <w:t>[resp. cmuller; source(s): Nakamura, Ui, FGD]</w:t>
      </w:r>
    </w:p>
    <w:p w:rsidR="00000000" w:rsidRDefault="00FD13E7">
      <w:pPr>
        <w:pStyle w:val="NormalWeb"/>
      </w:pPr>
      <w:r>
        <w:rPr>
          <w:color w:val="008000"/>
          <w:u w:val="single"/>
        </w:rPr>
        <w:t>Dictionary References:</w:t>
      </w:r>
    </w:p>
    <w:p w:rsidR="00000000" w:rsidRDefault="00FD13E7">
      <w:pPr>
        <w:pStyle w:val="plain"/>
      </w:pPr>
      <w:r>
        <w:rPr>
          <w:i/>
          <w:iCs/>
        </w:rPr>
        <w:t>Bukkyō jiten (Ui)</w:t>
      </w:r>
      <w:r>
        <w:t>, 860</w:t>
      </w:r>
    </w:p>
    <w:p w:rsidR="00000000" w:rsidRDefault="00FD13E7">
      <w:pPr>
        <w:pStyle w:val="plain"/>
      </w:pPr>
      <w:r>
        <w:rPr>
          <w:i/>
          <w:iCs/>
        </w:rPr>
        <w:t>Bulgyo sajeon</w:t>
      </w:r>
      <w:r>
        <w:t>, 909a</w:t>
      </w:r>
    </w:p>
    <w:p w:rsidR="00000000" w:rsidRDefault="00FD13E7">
      <w:pPr>
        <w:pStyle w:val="plain"/>
      </w:pPr>
      <w:r>
        <w:rPr>
          <w:i/>
          <w:iCs/>
        </w:rPr>
        <w:t>Bukky</w:t>
      </w:r>
      <w:r>
        <w:rPr>
          <w:i/>
          <w:iCs/>
        </w:rPr>
        <w:t>ōgo daijiten (Nakamura)</w:t>
      </w:r>
      <w:r>
        <w:t>, 1099d</w:t>
      </w:r>
    </w:p>
    <w:p w:rsidR="00000000" w:rsidRDefault="00FD13E7">
      <w:pPr>
        <w:pStyle w:val="plain"/>
      </w:pPr>
      <w:r>
        <w:rPr>
          <w:i/>
          <w:iCs/>
        </w:rPr>
        <w:t>Fo Guang Dictionary</w:t>
      </w:r>
      <w:r>
        <w:t>, 5983</w:t>
      </w:r>
    </w:p>
    <w:p w:rsidR="00000000" w:rsidRDefault="00FD13E7">
      <w:pPr>
        <w:pStyle w:val="plain"/>
      </w:pPr>
      <w:r>
        <w:rPr>
          <w:i/>
          <w:iCs/>
        </w:rPr>
        <w:t>Ding Fubao</w:t>
      </w:r>
      <w:r>
        <w:t>, {Digital Version}</w:t>
      </w:r>
    </w:p>
    <w:p w:rsidR="00000000" w:rsidRDefault="00FD13E7">
      <w:pPr>
        <w:pStyle w:val="plain"/>
      </w:pPr>
      <w:r>
        <w:rPr>
          <w:i/>
          <w:iCs/>
        </w:rPr>
        <w:t>Bukkyō daijiten (Mochizuki)</w:t>
      </w:r>
      <w:r>
        <w:t>, (v.1-6)4178b</w:t>
      </w:r>
    </w:p>
    <w:p w:rsidR="00000000" w:rsidRDefault="00FD13E7">
      <w:pPr>
        <w:pStyle w:val="plain"/>
      </w:pPr>
      <w:r>
        <w:rPr>
          <w:i/>
          <w:iCs/>
        </w:rPr>
        <w:t>Bukkyō daijiten (Oda)</w:t>
      </w:r>
      <w:r>
        <w:t>, 1386-1</w:t>
      </w:r>
    </w:p>
    <w:p w:rsidR="00000000" w:rsidRDefault="00FD13E7">
      <w:pPr>
        <w:rPr>
          <w:rFonts w:eastAsia="Times New Roman"/>
        </w:rPr>
      </w:pPr>
      <w:r>
        <w:rPr>
          <w:rFonts w:eastAsia="Times New Roman"/>
        </w:rPr>
        <w:pict>
          <v:rect id="_x0000_i1027" style="width:0;height:1.5pt" o:hralign="center" o:hrstd="t" o:hr="t" fillcolor="#a0a0a0" stroked="f"/>
        </w:pict>
      </w:r>
    </w:p>
    <w:p w:rsidR="00000000" w:rsidRDefault="00FD13E7">
      <w:pPr>
        <w:pStyle w:val="NormalWeb"/>
        <w:jc w:val="center"/>
      </w:pPr>
      <w:r>
        <w:t>Copyright © 2010 -- Charles Muller</w:t>
      </w:r>
    </w:p>
    <w:p w:rsidR="00FD13E7" w:rsidRDefault="00FD13E7">
      <w:pPr>
        <w:pStyle w:val="NormalWeb"/>
        <w:rPr>
          <w:i/>
          <w:iCs/>
          <w:sz w:val="20"/>
          <w:szCs w:val="20"/>
        </w:rPr>
      </w:pPr>
      <w:r>
        <w:rPr>
          <w:i/>
          <w:iCs/>
          <w:sz w:val="20"/>
          <w:szCs w:val="20"/>
        </w:rPr>
        <w:lastRenderedPageBreak/>
        <w:t>generated: 2013-12-20</w:t>
      </w:r>
    </w:p>
    <w:sectPr w:rsidR="00FD13E7">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2A3C"/>
    <w:multiLevelType w:val="multilevel"/>
    <w:tmpl w:val="E43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efaultTabStop w:val="72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5A02F1"/>
    <w:rsid w:val="005A02F1"/>
    <w:rsid w:val="00AE4BA0"/>
    <w:rsid w:val="00FD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ＭＳ 明朝"/>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MingLiU" w:eastAsia="MingLiU" w:hAnsi="MingLiU" w:hint="eastAsia"/>
      <w:strike w:val="0"/>
      <w:dstrike w:val="0"/>
      <w:color w:val="0000FF"/>
      <w:u w:val="none"/>
      <w:effect w:val="none"/>
    </w:rPr>
  </w:style>
  <w:style w:type="character" w:styleId="FollowedHyperlink">
    <w:name w:val="FollowedHyperlink"/>
    <w:basedOn w:val="DefaultParagraphFont"/>
    <w:uiPriority w:val="99"/>
    <w:semiHidden/>
    <w:unhideWhenUsed/>
    <w:rPr>
      <w:rFonts w:ascii="MingLiU" w:eastAsia="MingLiU" w:hAnsi="MingLiU" w:hint="eastAsia"/>
      <w:strike w:val="0"/>
      <w:dstrike w:val="0"/>
      <w:color w:val="800080"/>
      <w:u w:val="none"/>
      <w:effect w:val="none"/>
    </w:rPr>
  </w:style>
  <w:style w:type="paragraph" w:customStyle="1" w:styleId="indent">
    <w:name w:val="indent"/>
    <w:basedOn w:val="Normal"/>
    <w:pPr>
      <w:ind w:firstLine="680"/>
    </w:pPr>
  </w:style>
  <w:style w:type="paragraph" w:customStyle="1" w:styleId="plain">
    <w:name w:val="plain"/>
    <w:basedOn w:val="Normal"/>
  </w:style>
  <w:style w:type="paragraph" w:customStyle="1" w:styleId="blockquote">
    <w:name w:val="blockquote"/>
    <w:basedOn w:val="Normal"/>
    <w:pPr>
      <w:spacing w:before="240" w:after="240"/>
      <w:ind w:left="680"/>
    </w:pPr>
  </w:style>
  <w:style w:type="paragraph" w:customStyle="1" w:styleId="note">
    <w:name w:val="note"/>
    <w:basedOn w:val="Normal"/>
    <w:pPr>
      <w:spacing w:before="100" w:beforeAutospacing="1" w:after="240" w:line="284" w:lineRule="atLeast"/>
    </w:pPr>
    <w:rPr>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plain1">
    <w:name w:val="plain1"/>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ＭＳ 明朝"/>
      <w:sz w:val="24"/>
      <w:szCs w:val="24"/>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MingLiU" w:eastAsia="MingLiU" w:hAnsi="MingLiU" w:hint="eastAsia"/>
      <w:strike w:val="0"/>
      <w:dstrike w:val="0"/>
      <w:color w:val="0000FF"/>
      <w:u w:val="none"/>
      <w:effect w:val="none"/>
    </w:rPr>
  </w:style>
  <w:style w:type="character" w:styleId="FollowedHyperlink">
    <w:name w:val="FollowedHyperlink"/>
    <w:basedOn w:val="DefaultParagraphFont"/>
    <w:uiPriority w:val="99"/>
    <w:semiHidden/>
    <w:unhideWhenUsed/>
    <w:rPr>
      <w:rFonts w:ascii="MingLiU" w:eastAsia="MingLiU" w:hAnsi="MingLiU" w:hint="eastAsia"/>
      <w:strike w:val="0"/>
      <w:dstrike w:val="0"/>
      <w:color w:val="800080"/>
      <w:u w:val="none"/>
      <w:effect w:val="none"/>
    </w:rPr>
  </w:style>
  <w:style w:type="paragraph" w:customStyle="1" w:styleId="indent">
    <w:name w:val="indent"/>
    <w:basedOn w:val="Normal"/>
    <w:pPr>
      <w:ind w:firstLine="680"/>
    </w:pPr>
  </w:style>
  <w:style w:type="paragraph" w:customStyle="1" w:styleId="plain">
    <w:name w:val="plain"/>
    <w:basedOn w:val="Normal"/>
  </w:style>
  <w:style w:type="paragraph" w:customStyle="1" w:styleId="blockquote">
    <w:name w:val="blockquote"/>
    <w:basedOn w:val="Normal"/>
    <w:pPr>
      <w:spacing w:before="240" w:after="240"/>
      <w:ind w:left="680"/>
    </w:pPr>
  </w:style>
  <w:style w:type="paragraph" w:customStyle="1" w:styleId="note">
    <w:name w:val="note"/>
    <w:basedOn w:val="Normal"/>
    <w:pPr>
      <w:spacing w:before="100" w:beforeAutospacing="1" w:after="240" w:line="284" w:lineRule="atLeast"/>
    </w:pPr>
    <w:rPr>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plain1">
    <w:name w:val="plain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www.buddhism-dict.net/cgi-bin/xpr-ddb.pl?q=&#20381;&#35438;&#35527;&#26088;" TargetMode="External"/><Relationship Id="rId13" Type="http://schemas.openxmlformats.org/officeDocument/2006/relationships/hyperlink" Target="http://www.buddhism-dict.net/cgi-bin/xpr-ddb.pl?q=&#30494;&#22914;" TargetMode="External"/><Relationship Id="rId18" Type="http://schemas.openxmlformats.org/officeDocument/2006/relationships/hyperlink" Target="http://www.buddhism-dict.net/cgi-bin/xpr-ddb.pl?q=&#24290;&#35438;" TargetMode="External"/><Relationship Id="rId26" Type="http://schemas.openxmlformats.org/officeDocument/2006/relationships/hyperlink" Target="http://www.buddhism-dict.net/cgi-bin/xpr-ddb.pl?q=&#27861;&#33489;&#32681;&#37857;" TargetMode="External"/><Relationship Id="rId3" Type="http://schemas.microsoft.com/office/2007/relationships/stylesWithEffects" Target="stylesWithEffects.xml"/><Relationship Id="rId21" Type="http://schemas.openxmlformats.org/officeDocument/2006/relationships/hyperlink" Target="http://www.buddhism-dict.net/cgi-bin/xpr-ddb.pl?q=&#35438;" TargetMode="External"/><Relationship Id="rId7" Type="http://schemas.openxmlformats.org/officeDocument/2006/relationships/hyperlink" Target="http://www.buddhism-dict.net/cgi-bin/xpr-ddb.pl?q=&#24290;&#35438;&#36776;&#23526;" TargetMode="External"/><Relationship Id="rId12" Type="http://schemas.openxmlformats.org/officeDocument/2006/relationships/hyperlink" Target="http://www.buddhism-dict.net/cgi-bin/xpr-ddb.pl?q=&#22937;&#29702;" TargetMode="External"/><Relationship Id="rId17" Type="http://schemas.openxmlformats.org/officeDocument/2006/relationships/hyperlink" Target="http://www.buddhism-dict.net/cgi-bin/xpr-ddb.pl?q=&#20381;&#35438;" TargetMode="External"/><Relationship Id="rId25" Type="http://schemas.openxmlformats.org/officeDocument/2006/relationships/hyperlink" Target="http://www.buddhism-dict.net/cgi-bin/xpr-ddb.pl?q=&#25104;&#21807;&#35672;&#35542;" TargetMode="External"/><Relationship Id="rId2" Type="http://schemas.openxmlformats.org/officeDocument/2006/relationships/styles" Target="styles.xml"/><Relationship Id="rId16" Type="http://schemas.openxmlformats.org/officeDocument/2006/relationships/hyperlink" Target="http://www.buddhism-dict.net/cgi-bin/xpr-ddb.pl?q=&#24290;&#35438;&#35527;&#26088;" TargetMode="External"/><Relationship Id="rId20" Type="http://schemas.openxmlformats.org/officeDocument/2006/relationships/hyperlink" Target="http://www.buddhism-dict.net/cgi-bin/xpr-ddb.pl?q=&#20108;&#31354;&#30494;&#2291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uddhism-dict.net/ddb" TargetMode="External"/><Relationship Id="rId11" Type="http://schemas.openxmlformats.org/officeDocument/2006/relationships/hyperlink" Target="http://www.buddhism-dict.net/cgi-bin/xpr-ddb.pl?q=&#30334;&#27861;&#21839;&#31572;&#25220;" TargetMode="External"/><Relationship Id="rId24" Type="http://schemas.openxmlformats.org/officeDocument/2006/relationships/hyperlink" Target="http://www.buddhism-dict.net/cgi-bin/xpr-ddb.pl?q=&#19968;&#23526;" TargetMode="External"/><Relationship Id="rId5" Type="http://schemas.openxmlformats.org/officeDocument/2006/relationships/webSettings" Target="webSettings.xml"/><Relationship Id="rId15" Type="http://schemas.openxmlformats.org/officeDocument/2006/relationships/hyperlink" Target="http://www.buddhism-dict.net/cgi-bin/xpr-ddb.pl?q=&#20381;&#35438;&#35527;&#26088;" TargetMode="External"/><Relationship Id="rId23" Type="http://schemas.openxmlformats.org/officeDocument/2006/relationships/hyperlink" Target="http://www.buddhism-dict.net/cgi-bin/xpr-ddb.pl?q=&#20108;&#28961;&#25105;" TargetMode="External"/><Relationship Id="rId28" Type="http://schemas.openxmlformats.org/officeDocument/2006/relationships/hyperlink" Target="http://www.buddhism-dict.net/cgi-bin/xpr-ddb.pl?q=&#35264;&#24515;&#35258;&#22818;&#25220;" TargetMode="External"/><Relationship Id="rId10" Type="http://schemas.openxmlformats.org/officeDocument/2006/relationships/hyperlink" Target="http://www.buddhism-dict.net/cgi-bin/xpr-ddb.pl?q=&#25910;" TargetMode="External"/><Relationship Id="rId19" Type="http://schemas.openxmlformats.org/officeDocument/2006/relationships/hyperlink" Target="http://www.buddhism-dict.net/cgi-bin/xpr-ddb.pl?q=&#35438;&#26088;" TargetMode="External"/><Relationship Id="rId4" Type="http://schemas.openxmlformats.org/officeDocument/2006/relationships/settings" Target="settings.xml"/><Relationship Id="rId9" Type="http://schemas.openxmlformats.org/officeDocument/2006/relationships/hyperlink" Target="http://www.buddhism-dict.net/cgi-bin/xpr-ddb.pl?q=&#22823;&#20056;&#27861;&#33489;&#32681;&#26519;&#31456;" TargetMode="External"/><Relationship Id="rId14" Type="http://schemas.openxmlformats.org/officeDocument/2006/relationships/hyperlink" Target="http://www.buddhism-dict.net/cgi-bin/xpr-ddb.pl?q=&#24942;" TargetMode="External"/><Relationship Id="rId22" Type="http://schemas.openxmlformats.org/officeDocument/2006/relationships/hyperlink" Target="http://www.buddhism-dict.net/cgi-bin/xpr-ddb.pl?q=&#27861;&#24615;" TargetMode="External"/><Relationship Id="rId27" Type="http://schemas.openxmlformats.org/officeDocument/2006/relationships/hyperlink" Target="http://www.buddhism-dict.net/cgi-bin/xpr-ddb.pl?q=&#22823;&#20056;&#27861;&#30456;&#23447;&#21517;&#3044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DDB: 廢詮談旨 |</vt:lpstr>
    </vt:vector>
  </TitlesOfParts>
  <Company>Microsoft</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DDB: 廢詮談旨 |</dc:title>
  <dc:creator>cmuller</dc:creator>
  <cp:lastModifiedBy>cmuller</cp:lastModifiedBy>
  <cp:revision>3</cp:revision>
  <dcterms:created xsi:type="dcterms:W3CDTF">2013-12-20T02:42:00Z</dcterms:created>
  <dcterms:modified xsi:type="dcterms:W3CDTF">2013-12-20T02:43:00Z</dcterms:modified>
</cp:coreProperties>
</file>